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4C28" w:rsidRDefault="00FD208F">
      <w:r w:rsidRPr="00FD208F">
        <w:rPr>
          <w:noProof/>
          <w:lang w:val="pt-PT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aixa de texto 3" o:spid="_x0000_s1026" type="#_x0000_t202" style="position:absolute;margin-left:79.95pt;margin-top:264.4pt;width:279.75pt;height:25.5pt;z-index:251660288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" filled="f" stroked="f" strokeweight=".5pt">
            <v:textbox>
              <w:txbxContent>
                <w:p w:rsidR="00EF7EB7" w:rsidRDefault="00961CBB" w:rsidP="00961CBB">
                  <w:pPr>
                    <w:jc w:val="center"/>
                  </w:pPr>
                  <w:r>
                    <w:rPr>
                      <w:rFonts w:ascii="Arial" w:hAnsi="Arial" w:cs="Arial"/>
                    </w:rPr>
                    <w:t>HS/C or W</w:t>
                  </w:r>
                  <w:r w:rsidR="003F5187">
                    <w:rPr>
                      <w:rFonts w:ascii="Arial" w:hAnsi="Arial" w:cs="Arial"/>
                    </w:rPr>
                    <w:t>D</w:t>
                  </w:r>
                  <w:r>
                    <w:rPr>
                      <w:rFonts w:ascii="Arial" w:hAnsi="Arial" w:cs="Arial"/>
                    </w:rPr>
                    <w:t>S/C in the</w:t>
                  </w:r>
                  <w:r w:rsidR="00EF7EB7" w:rsidRPr="003E4BAD">
                    <w:rPr>
                      <w:rFonts w:ascii="Arial" w:hAnsi="Arial" w:cs="Arial"/>
                    </w:rPr>
                    <w:t xml:space="preserve"> </w:t>
                  </w:r>
                  <w:r w:rsidR="00EF7EB7">
                    <w:rPr>
                      <w:rFonts w:ascii="Arial" w:hAnsi="Arial" w:cs="Arial"/>
                    </w:rPr>
                    <w:t>microarray</w:t>
                  </w:r>
                </w:p>
              </w:txbxContent>
            </v:textbox>
          </v:shape>
        </w:pict>
      </w:r>
      <w:r w:rsidRPr="00FD208F">
        <w:rPr>
          <w:noProof/>
          <w:lang w:val="pt-PT"/>
        </w:rPr>
        <w:pict>
          <v:shape id="Caixa de texto 2" o:spid="_x0000_s1027" type="#_x0000_t202" style="position:absolute;margin-left:-22.8pt;margin-top:-6.35pt;width:33pt;height:278.25pt;z-index:25165926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" filled="f" stroked="f" strokeweight=".5pt">
            <v:textbox style="layout-flow:vertical;mso-layout-flow-alt:bottom-to-top">
              <w:txbxContent>
                <w:p w:rsidR="00EF7EB7" w:rsidRPr="00EF7EB7" w:rsidRDefault="00961CBB" w:rsidP="00EF7EB7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HS/C or W</w:t>
                  </w:r>
                  <w:r w:rsidR="003F5187">
                    <w:rPr>
                      <w:rFonts w:ascii="Arial" w:hAnsi="Arial" w:cs="Arial"/>
                    </w:rPr>
                    <w:t>D</w:t>
                  </w:r>
                  <w:r>
                    <w:rPr>
                      <w:rFonts w:ascii="Arial" w:hAnsi="Arial" w:cs="Arial"/>
                    </w:rPr>
                    <w:t xml:space="preserve">S/C in </w:t>
                  </w:r>
                  <w:r w:rsidR="00EF7EB7">
                    <w:rPr>
                      <w:rFonts w:ascii="Arial" w:hAnsi="Arial" w:cs="Arial"/>
                    </w:rPr>
                    <w:t>RT-</w:t>
                  </w:r>
                  <w:proofErr w:type="spellStart"/>
                  <w:r w:rsidR="00EF7EB7">
                    <w:rPr>
                      <w:rFonts w:ascii="Arial" w:hAnsi="Arial" w:cs="Arial"/>
                    </w:rPr>
                    <w:t>q</w:t>
                  </w:r>
                  <w:r w:rsidR="00EF7EB7" w:rsidRPr="003E4BAD">
                    <w:rPr>
                      <w:rFonts w:ascii="Arial" w:hAnsi="Arial" w:cs="Arial"/>
                    </w:rPr>
                    <w:t>PCR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(log</w:t>
                  </w:r>
                  <w:r w:rsidRPr="00961CBB">
                    <w:rPr>
                      <w:rFonts w:ascii="Arial" w:hAnsi="Arial" w:cs="Arial"/>
                      <w:vertAlign w:val="subscript"/>
                    </w:rPr>
                    <w:t>2</w:t>
                  </w:r>
                  <w:r>
                    <w:rPr>
                      <w:rFonts w:ascii="Arial" w:hAnsi="Arial" w:cs="Arial"/>
                    </w:rPr>
                    <w:t xml:space="preserve"> expression ratio)</w:t>
                  </w:r>
                </w:p>
              </w:txbxContent>
            </v:textbox>
          </v:shape>
        </w:pict>
      </w:r>
      <w:r w:rsidR="00EF7EB7">
        <w:rPr>
          <w:noProof/>
          <w:lang w:val="en-GB" w:eastAsia="en-GB"/>
        </w:rPr>
        <w:drawing>
          <wp:inline distT="0" distB="0" distL="0" distR="0">
            <wp:extent cx="5593544" cy="3362325"/>
            <wp:effectExtent l="0" t="0" r="7620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3551" cy="33683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33DD9" w:rsidRDefault="00233DD9"/>
    <w:p w:rsidR="00233DD9" w:rsidRDefault="00233DD9"/>
    <w:p w:rsidR="00233DD9" w:rsidRDefault="00233DD9"/>
    <w:p w:rsidR="00233DD9" w:rsidRDefault="00B43DA5" w:rsidP="00233DD9">
      <w:pPr>
        <w:autoSpaceDE w:val="0"/>
        <w:autoSpaceDN w:val="0"/>
        <w:adjustRightInd w:val="0"/>
        <w:spacing w:line="480" w:lineRule="auto"/>
        <w:jc w:val="both"/>
        <w:rPr>
          <w:lang w:val="en-GB"/>
        </w:rPr>
      </w:pPr>
      <w:r>
        <w:t>Supplementary</w:t>
      </w:r>
      <w:r w:rsidR="00372BD4">
        <w:t xml:space="preserve"> Fig. S</w:t>
      </w:r>
      <w:r w:rsidR="002D2114">
        <w:t>2</w:t>
      </w:r>
      <w:r w:rsidR="00EA2E50" w:rsidRPr="00EA2E50">
        <w:t xml:space="preserve">. </w:t>
      </w:r>
      <w:r w:rsidR="00715DCB" w:rsidRPr="00EA2E50">
        <w:t xml:space="preserve"> </w:t>
      </w:r>
      <w:r w:rsidR="00233DD9" w:rsidRPr="00BD760F">
        <w:rPr>
          <w:lang w:val="en-GB"/>
        </w:rPr>
        <w:t>Comparison</w:t>
      </w:r>
      <w:r w:rsidR="00233DD9" w:rsidRPr="00091715">
        <w:rPr>
          <w:lang w:val="en-GB"/>
        </w:rPr>
        <w:t xml:space="preserve"> of gene expression ratios obtained by microarray and by RT-</w:t>
      </w:r>
      <w:proofErr w:type="spellStart"/>
      <w:r w:rsidR="00233DD9" w:rsidRPr="00091715">
        <w:rPr>
          <w:lang w:val="en-GB"/>
        </w:rPr>
        <w:t>qPCR</w:t>
      </w:r>
      <w:proofErr w:type="spellEnd"/>
      <w:r w:rsidR="00233DD9" w:rsidRPr="00091715">
        <w:rPr>
          <w:lang w:val="en-GB"/>
        </w:rPr>
        <w:t>. Expression profiles are shown for randomly chosen transcripts whose expression was significantly up- or down- regulated in the microarray analysis in HS and in W</w:t>
      </w:r>
      <w:r w:rsidR="003F5187">
        <w:rPr>
          <w:lang w:val="en-GB"/>
        </w:rPr>
        <w:t>D</w:t>
      </w:r>
      <w:r w:rsidR="00233DD9" w:rsidRPr="00091715">
        <w:rPr>
          <w:lang w:val="en-GB"/>
        </w:rPr>
        <w:t>S. The microarray f</w:t>
      </w:r>
      <w:r w:rsidR="00CD7710">
        <w:rPr>
          <w:lang w:val="en-GB"/>
        </w:rPr>
        <w:t>old change are plotted on the X</w:t>
      </w:r>
      <w:r w:rsidR="00233DD9" w:rsidRPr="00091715">
        <w:rPr>
          <w:lang w:val="en-GB"/>
        </w:rPr>
        <w:t>-axis against the log</w:t>
      </w:r>
      <w:r w:rsidR="00233DD9" w:rsidRPr="00091715">
        <w:rPr>
          <w:vertAlign w:val="subscript"/>
          <w:lang w:val="en-GB"/>
        </w:rPr>
        <w:t>2</w:t>
      </w:r>
      <w:r w:rsidR="00CD7710">
        <w:rPr>
          <w:vertAlign w:val="subscript"/>
          <w:lang w:val="en-GB"/>
        </w:rPr>
        <w:t xml:space="preserve"> </w:t>
      </w:r>
      <w:r w:rsidR="00233DD9" w:rsidRPr="00091715">
        <w:rPr>
          <w:lang w:val="en-GB"/>
        </w:rPr>
        <w:t>(expression ratio) values obtained by RT-</w:t>
      </w:r>
      <w:proofErr w:type="spellStart"/>
      <w:r w:rsidR="00233DD9" w:rsidRPr="00091715">
        <w:rPr>
          <w:lang w:val="en-GB"/>
        </w:rPr>
        <w:t>qPCR</w:t>
      </w:r>
      <w:proofErr w:type="spellEnd"/>
      <w:r w:rsidR="00233DD9" w:rsidRPr="00091715">
        <w:rPr>
          <w:lang w:val="en-GB"/>
        </w:rPr>
        <w:t xml:space="preserve"> on the </w:t>
      </w:r>
      <w:r w:rsidR="00233DD9">
        <w:rPr>
          <w:lang w:val="en-GB"/>
        </w:rPr>
        <w:t>Y-axis.</w:t>
      </w:r>
    </w:p>
    <w:p w:rsidR="00233DD9" w:rsidRDefault="00233DD9" w:rsidP="00233DD9">
      <w:pPr>
        <w:autoSpaceDE w:val="0"/>
        <w:autoSpaceDN w:val="0"/>
        <w:adjustRightInd w:val="0"/>
        <w:spacing w:line="480" w:lineRule="auto"/>
        <w:jc w:val="both"/>
        <w:rPr>
          <w:lang w:val="en-GB"/>
        </w:rPr>
      </w:pPr>
    </w:p>
    <w:p w:rsidR="00233DD9" w:rsidRPr="00BD760F" w:rsidRDefault="00233DD9" w:rsidP="00233DD9">
      <w:pPr>
        <w:autoSpaceDE w:val="0"/>
        <w:autoSpaceDN w:val="0"/>
        <w:adjustRightInd w:val="0"/>
        <w:spacing w:line="480" w:lineRule="auto"/>
        <w:jc w:val="both"/>
        <w:rPr>
          <w:b/>
          <w:lang w:val="en-GB" w:eastAsia="en-US"/>
        </w:rPr>
      </w:pPr>
      <w:r w:rsidRPr="00BD760F">
        <w:rPr>
          <w:b/>
          <w:lang w:val="en-GB"/>
        </w:rPr>
        <w:t>Procedure:</w:t>
      </w:r>
    </w:p>
    <w:p w:rsidR="00233DD9" w:rsidRPr="00BD760F" w:rsidRDefault="00233DD9" w:rsidP="00233DD9">
      <w:pPr>
        <w:spacing w:line="480" w:lineRule="auto"/>
        <w:contextualSpacing/>
        <w:rPr>
          <w:color w:val="000000" w:themeColor="text1"/>
        </w:rPr>
      </w:pPr>
      <w:r w:rsidRPr="00BD760F">
        <w:rPr>
          <w:color w:val="000000" w:themeColor="text1"/>
        </w:rPr>
        <w:t xml:space="preserve">Total RNA was extracted as described </w:t>
      </w:r>
      <w:r>
        <w:rPr>
          <w:color w:val="000000" w:themeColor="text1"/>
        </w:rPr>
        <w:t>in Materials and Methods</w:t>
      </w:r>
      <w:bookmarkStart w:id="0" w:name="_GoBack"/>
      <w:bookmarkEnd w:id="0"/>
      <w:r w:rsidRPr="00BD760F">
        <w:rPr>
          <w:color w:val="000000" w:themeColor="text1"/>
        </w:rPr>
        <w:t xml:space="preserve">. Nucleic acid concentration of each sample was quantified by </w:t>
      </w:r>
      <w:proofErr w:type="spellStart"/>
      <w:r w:rsidRPr="00BD760F">
        <w:rPr>
          <w:rStyle w:val="apple-style-span"/>
          <w:color w:val="000000" w:themeColor="text1"/>
        </w:rPr>
        <w:t>spectrophotometry</w:t>
      </w:r>
      <w:proofErr w:type="spellEnd"/>
      <w:r w:rsidRPr="00BD760F">
        <w:rPr>
          <w:rStyle w:val="apple-style-span"/>
          <w:color w:val="000000" w:themeColor="text1"/>
        </w:rPr>
        <w:t xml:space="preserve"> using the software Gen5 1.09 (Synergy HT, Bio-</w:t>
      </w:r>
      <w:proofErr w:type="spellStart"/>
      <w:r w:rsidRPr="00BD760F">
        <w:rPr>
          <w:rStyle w:val="apple-style-span"/>
          <w:color w:val="000000" w:themeColor="text1"/>
        </w:rPr>
        <w:t>Tek</w:t>
      </w:r>
      <w:proofErr w:type="spellEnd"/>
      <w:r w:rsidRPr="00BD760F">
        <w:rPr>
          <w:rStyle w:val="apple-style-span"/>
          <w:color w:val="000000" w:themeColor="text1"/>
        </w:rPr>
        <w:t xml:space="preserve"> Instruments, </w:t>
      </w:r>
      <w:proofErr w:type="gramStart"/>
      <w:r w:rsidRPr="00BD760F">
        <w:rPr>
          <w:rStyle w:val="apple-style-span"/>
          <w:color w:val="000000" w:themeColor="text1"/>
        </w:rPr>
        <w:t>Winooski</w:t>
      </w:r>
      <w:proofErr w:type="gramEnd"/>
      <w:r w:rsidRPr="00BD760F">
        <w:rPr>
          <w:rStyle w:val="apple-style-span"/>
          <w:color w:val="000000" w:themeColor="text1"/>
        </w:rPr>
        <w:t xml:space="preserve">, USA). Total RNA quality </w:t>
      </w:r>
      <w:r w:rsidRPr="00BD760F">
        <w:rPr>
          <w:color w:val="000000" w:themeColor="text1"/>
        </w:rPr>
        <w:t>was assessed using the A</w:t>
      </w:r>
      <w:r w:rsidRPr="00BD760F">
        <w:rPr>
          <w:color w:val="000000" w:themeColor="text1"/>
          <w:vertAlign w:val="subscript"/>
        </w:rPr>
        <w:t>260</w:t>
      </w:r>
      <w:r w:rsidRPr="00BD760F">
        <w:rPr>
          <w:color w:val="000000" w:themeColor="text1"/>
        </w:rPr>
        <w:t>/A</w:t>
      </w:r>
      <w:r w:rsidRPr="00BD760F">
        <w:rPr>
          <w:color w:val="000000" w:themeColor="text1"/>
          <w:vertAlign w:val="subscript"/>
        </w:rPr>
        <w:t>280</w:t>
      </w:r>
      <w:r w:rsidRPr="00BD760F">
        <w:rPr>
          <w:color w:val="000000" w:themeColor="text1"/>
        </w:rPr>
        <w:t xml:space="preserve"> and A</w:t>
      </w:r>
      <w:r w:rsidRPr="00BD760F">
        <w:rPr>
          <w:color w:val="000000" w:themeColor="text1"/>
          <w:vertAlign w:val="subscript"/>
        </w:rPr>
        <w:t>260</w:t>
      </w:r>
      <w:r w:rsidRPr="00BD760F">
        <w:rPr>
          <w:color w:val="000000" w:themeColor="text1"/>
        </w:rPr>
        <w:t>/A</w:t>
      </w:r>
      <w:r w:rsidRPr="00BD760F">
        <w:rPr>
          <w:color w:val="000000" w:themeColor="text1"/>
          <w:vertAlign w:val="subscript"/>
        </w:rPr>
        <w:t>230</w:t>
      </w:r>
      <w:r w:rsidRPr="00BD760F">
        <w:rPr>
          <w:color w:val="000000" w:themeColor="text1"/>
        </w:rPr>
        <w:t>. Only RNA samples with A</w:t>
      </w:r>
      <w:r w:rsidRPr="00BD760F">
        <w:rPr>
          <w:color w:val="000000" w:themeColor="text1"/>
          <w:vertAlign w:val="subscript"/>
        </w:rPr>
        <w:t>260</w:t>
      </w:r>
      <w:r w:rsidRPr="00BD760F">
        <w:rPr>
          <w:color w:val="000000" w:themeColor="text1"/>
        </w:rPr>
        <w:t>/A</w:t>
      </w:r>
      <w:r w:rsidRPr="00BD760F">
        <w:rPr>
          <w:color w:val="000000" w:themeColor="text1"/>
          <w:vertAlign w:val="subscript"/>
        </w:rPr>
        <w:t>280</w:t>
      </w:r>
      <w:r w:rsidRPr="00BD760F">
        <w:rPr>
          <w:color w:val="000000" w:themeColor="text1"/>
        </w:rPr>
        <w:t xml:space="preserve"> between 1.8 and 2.1 and A</w:t>
      </w:r>
      <w:r w:rsidRPr="00BD760F">
        <w:rPr>
          <w:color w:val="000000" w:themeColor="text1"/>
          <w:vertAlign w:val="subscript"/>
        </w:rPr>
        <w:t>260</w:t>
      </w:r>
      <w:r w:rsidRPr="00BD760F">
        <w:rPr>
          <w:color w:val="000000" w:themeColor="text1"/>
        </w:rPr>
        <w:t>/A</w:t>
      </w:r>
      <w:r w:rsidRPr="00BD760F">
        <w:rPr>
          <w:color w:val="000000" w:themeColor="text1"/>
          <w:vertAlign w:val="subscript"/>
        </w:rPr>
        <w:t>230</w:t>
      </w:r>
      <w:r w:rsidRPr="00BD760F">
        <w:rPr>
          <w:color w:val="000000" w:themeColor="text1"/>
        </w:rPr>
        <w:t xml:space="preserve"> between 2.0 and 2.2 were used.</w:t>
      </w:r>
      <w:r w:rsidRPr="00BD760F">
        <w:rPr>
          <w:rStyle w:val="apple-style-span"/>
          <w:color w:val="000000" w:themeColor="text1"/>
        </w:rPr>
        <w:t xml:space="preserve"> </w:t>
      </w:r>
      <w:r w:rsidRPr="00BD760F">
        <w:rPr>
          <w:color w:val="000000" w:themeColor="text1"/>
        </w:rPr>
        <w:t xml:space="preserve">Total RNA integrity was checked through 1% agarose gel electrophoresis under denaturing conditions. RNA samples were treated with RQ1 </w:t>
      </w:r>
      <w:proofErr w:type="spellStart"/>
      <w:r w:rsidRPr="00BD760F">
        <w:rPr>
          <w:color w:val="000000" w:themeColor="text1"/>
        </w:rPr>
        <w:t>RNase</w:t>
      </w:r>
      <w:proofErr w:type="spellEnd"/>
      <w:r w:rsidRPr="00BD760F">
        <w:rPr>
          <w:color w:val="000000" w:themeColor="text1"/>
        </w:rPr>
        <w:t xml:space="preserve">-Free </w:t>
      </w:r>
      <w:proofErr w:type="spellStart"/>
      <w:r w:rsidRPr="00BD760F">
        <w:rPr>
          <w:color w:val="000000" w:themeColor="text1"/>
        </w:rPr>
        <w:t>DNase</w:t>
      </w:r>
      <w:proofErr w:type="spellEnd"/>
      <w:r w:rsidRPr="00BD760F">
        <w:rPr>
          <w:color w:val="000000" w:themeColor="text1"/>
        </w:rPr>
        <w:t xml:space="preserve"> (</w:t>
      </w:r>
      <w:proofErr w:type="spellStart"/>
      <w:r w:rsidRPr="00BD760F">
        <w:rPr>
          <w:color w:val="000000" w:themeColor="text1"/>
        </w:rPr>
        <w:t>Promega</w:t>
      </w:r>
      <w:proofErr w:type="spellEnd"/>
      <w:r w:rsidRPr="00BD760F">
        <w:rPr>
          <w:color w:val="000000" w:themeColor="text1"/>
        </w:rPr>
        <w:t xml:space="preserve">, Madison, WI). </w:t>
      </w:r>
      <w:proofErr w:type="gramStart"/>
      <w:r w:rsidRPr="00BD760F">
        <w:rPr>
          <w:color w:val="000000" w:themeColor="text1"/>
        </w:rPr>
        <w:t>cDNA</w:t>
      </w:r>
      <w:proofErr w:type="gramEnd"/>
      <w:r w:rsidRPr="00BD760F">
        <w:rPr>
          <w:color w:val="000000" w:themeColor="text1"/>
        </w:rPr>
        <w:t xml:space="preserve"> </w:t>
      </w:r>
      <w:r w:rsidRPr="00BD760F">
        <w:rPr>
          <w:color w:val="000000" w:themeColor="text1"/>
        </w:rPr>
        <w:lastRenderedPageBreak/>
        <w:t xml:space="preserve">was synthesized from 2µg of total RNA using </w:t>
      </w:r>
      <w:proofErr w:type="spellStart"/>
      <w:r w:rsidRPr="00BD760F">
        <w:rPr>
          <w:color w:val="000000" w:themeColor="text1"/>
        </w:rPr>
        <w:t>oligo</w:t>
      </w:r>
      <w:proofErr w:type="spellEnd"/>
      <w:r w:rsidRPr="00BD760F">
        <w:rPr>
          <w:color w:val="000000" w:themeColor="text1"/>
        </w:rPr>
        <w:t>(</w:t>
      </w:r>
      <w:proofErr w:type="spellStart"/>
      <w:r w:rsidRPr="00BD760F">
        <w:rPr>
          <w:color w:val="000000" w:themeColor="text1"/>
        </w:rPr>
        <w:t>dT</w:t>
      </w:r>
      <w:proofErr w:type="spellEnd"/>
      <w:r w:rsidRPr="00BD760F">
        <w:rPr>
          <w:color w:val="000000" w:themeColor="text1"/>
        </w:rPr>
        <w:t>)</w:t>
      </w:r>
      <w:r w:rsidRPr="00BD760F">
        <w:rPr>
          <w:color w:val="000000" w:themeColor="text1"/>
          <w:vertAlign w:val="subscript"/>
        </w:rPr>
        <w:t>20</w:t>
      </w:r>
      <w:r w:rsidRPr="00BD760F">
        <w:rPr>
          <w:color w:val="000000" w:themeColor="text1"/>
        </w:rPr>
        <w:t xml:space="preserve"> in a 20 µL-reaction volume using </w:t>
      </w:r>
      <w:proofErr w:type="spellStart"/>
      <w:r w:rsidRPr="00BD760F">
        <w:rPr>
          <w:color w:val="000000" w:themeColor="text1"/>
        </w:rPr>
        <w:t>RevertAid</w:t>
      </w:r>
      <w:proofErr w:type="spellEnd"/>
      <w:r w:rsidRPr="00BD760F">
        <w:rPr>
          <w:color w:val="000000" w:themeColor="text1"/>
        </w:rPr>
        <w:t xml:space="preserve"> Reverse Transcriptase (</w:t>
      </w:r>
      <w:proofErr w:type="spellStart"/>
      <w:r w:rsidRPr="00BD760F">
        <w:rPr>
          <w:color w:val="000000" w:themeColor="text1"/>
        </w:rPr>
        <w:t>Fermentas</w:t>
      </w:r>
      <w:proofErr w:type="spellEnd"/>
      <w:r w:rsidRPr="00BD760F">
        <w:rPr>
          <w:color w:val="000000" w:themeColor="text1"/>
        </w:rPr>
        <w:t xml:space="preserve"> Life Science, Helsingborg, Sweden) according to the manufacturer’s recommendations.</w:t>
      </w:r>
    </w:p>
    <w:p w:rsidR="00233DD9" w:rsidRPr="00BD760F" w:rsidRDefault="00233DD9" w:rsidP="00233DD9">
      <w:pPr>
        <w:spacing w:line="480" w:lineRule="auto"/>
        <w:rPr>
          <w:color w:val="000000" w:themeColor="text1"/>
        </w:rPr>
      </w:pPr>
      <w:r w:rsidRPr="00BD760F">
        <w:rPr>
          <w:color w:val="000000" w:themeColor="text1"/>
        </w:rPr>
        <w:t xml:space="preserve">Primer pairs were designed for </w:t>
      </w:r>
      <w:r w:rsidRPr="00BD760F">
        <w:rPr>
          <w:i/>
          <w:color w:val="000000" w:themeColor="text1"/>
        </w:rPr>
        <w:t>Act2</w:t>
      </w:r>
      <w:r w:rsidRPr="00BD760F">
        <w:rPr>
          <w:color w:val="000000" w:themeColor="text1"/>
        </w:rPr>
        <w:t xml:space="preserve">, </w:t>
      </w:r>
      <w:r w:rsidRPr="00BD760F">
        <w:rPr>
          <w:i/>
          <w:color w:val="000000" w:themeColor="text1"/>
        </w:rPr>
        <w:t>L2</w:t>
      </w:r>
      <w:r w:rsidRPr="00BD760F">
        <w:rPr>
          <w:color w:val="000000" w:themeColor="text1"/>
        </w:rPr>
        <w:t xml:space="preserve"> and eight probe sets (VVTU27646_s_at, VVTU3450_at, VVTU16209_at, VVTU13941_at, VVTU3801_s_at, VVTU27205_s_at; VVTU27617_s_at and VVTU5985_s_at</w:t>
      </w:r>
      <w:r w:rsidR="001A2AD5">
        <w:rPr>
          <w:color w:val="000000" w:themeColor="text1"/>
        </w:rPr>
        <w:t xml:space="preserve">; </w:t>
      </w:r>
      <w:proofErr w:type="spellStart"/>
      <w:r w:rsidR="001A2AD5">
        <w:rPr>
          <w:color w:val="000000" w:themeColor="text1"/>
        </w:rPr>
        <w:t>probeset</w:t>
      </w:r>
      <w:proofErr w:type="spellEnd"/>
      <w:r w:rsidR="001A2AD5">
        <w:rPr>
          <w:color w:val="000000" w:themeColor="text1"/>
        </w:rPr>
        <w:t xml:space="preserve"> annotation in </w:t>
      </w:r>
      <w:r w:rsidR="00BA2172" w:rsidRPr="00BA2172">
        <w:t>Additional file 2 and 3</w:t>
      </w:r>
      <w:r w:rsidR="001A2AD5" w:rsidRPr="00BA2172">
        <w:t>)</w:t>
      </w:r>
      <w:r w:rsidRPr="00BA2172">
        <w:t>,</w:t>
      </w:r>
      <w:r w:rsidR="00715DCB" w:rsidRPr="00BA2172">
        <w:t xml:space="preserve"> as in </w:t>
      </w:r>
      <w:proofErr w:type="spellStart"/>
      <w:r w:rsidR="00715DCB" w:rsidRPr="00BA2172">
        <w:t>Coito</w:t>
      </w:r>
      <w:proofErr w:type="spellEnd"/>
      <w:r w:rsidR="00715DCB" w:rsidRPr="00BA2172">
        <w:t xml:space="preserve"> et al </w:t>
      </w:r>
      <w:r w:rsidR="00FD208F" w:rsidRPr="00BA2172">
        <w:fldChar w:fldCharType="begin"/>
      </w:r>
      <w:r w:rsidR="00715DCB" w:rsidRPr="00BA2172">
        <w:instrText xml:space="preserve"> ADDIN EN.CITE &lt;EndNote&gt;&lt;Cite&gt;&lt;Author&gt;Coito&lt;/Author&gt;&lt;Year&gt;2012&lt;/Year&gt;&lt;RecNum&gt;95&lt;/RecNum&gt;&lt;record&gt;&lt;rec-number&gt;95&lt;/rec-number&gt;&lt;ref-type name="Journal Article"&gt;17&lt;/ref-type&gt;&lt;contributors&gt;&lt;authors&gt;&lt;author&gt;J. L. Coito&lt;/author&gt;&lt;author&gt;M. Rocheta&lt;/author&gt;&lt;author&gt; L. C. Carvalho&lt;/author&gt;&lt;author&gt;S. Amâncio&lt;/author&gt;&lt;/authors&gt;&lt;/contributors&gt;&lt;titles&gt;&lt;title&gt;Microarray-based uncovering reference genes for quantitative real time PCR in grapevine under abiotic stress&lt;/title&gt;&lt;secondary-title&gt;BMC Research Notes&lt;/secondary-title&gt;&lt;/titles&gt;&lt;periodical&gt;&lt;full-title&gt;BMC Research Notes&lt;/full-title&gt;&lt;/periodical&gt;&lt;pages&gt;220&lt;/pages&gt;&lt;volume&gt;5&lt;/volume&gt;&lt;dates&gt;&lt;year&gt;2012&lt;/year&gt;&lt;/dates&gt;&lt;urls&gt;&lt;/urls&gt;&lt;/record&gt;&lt;/Cite&gt;&lt;/EndNote&gt;</w:instrText>
      </w:r>
      <w:r w:rsidR="00FD208F" w:rsidRPr="00BA2172">
        <w:fldChar w:fldCharType="separate"/>
      </w:r>
      <w:r w:rsidR="00715DCB" w:rsidRPr="00BA2172">
        <w:t>[1]</w:t>
      </w:r>
      <w:r w:rsidR="00FD208F" w:rsidRPr="00BA2172">
        <w:fldChar w:fldCharType="end"/>
      </w:r>
      <w:r w:rsidRPr="00BA2172">
        <w:t>. RT-</w:t>
      </w:r>
      <w:proofErr w:type="spellStart"/>
      <w:r w:rsidRPr="00BA2172">
        <w:t>qPCR</w:t>
      </w:r>
      <w:proofErr w:type="spellEnd"/>
      <w:r w:rsidRPr="00BA2172">
        <w:t xml:space="preserve"> was performed in 96 well white</w:t>
      </w:r>
      <w:r w:rsidRPr="00BD760F">
        <w:rPr>
          <w:color w:val="000000" w:themeColor="text1"/>
        </w:rPr>
        <w:t xml:space="preserve"> reaction plates (Bio-Rad, Hercules, CA), using an IQ5 Real Time PCR (Bio-Rad, Hercules, CA) with three biological replicates and two technical replicates. The 20 µL reaction mixture was composed of 1 µL cDNA diluted 50-fold, 0.5 µM of each gene-specific primer and 10 µL master mix (</w:t>
      </w:r>
      <w:proofErr w:type="spellStart"/>
      <w:r w:rsidRPr="00BD760F">
        <w:rPr>
          <w:color w:val="000000" w:themeColor="text1"/>
        </w:rPr>
        <w:t>SsoFast_EvaGreen</w:t>
      </w:r>
      <w:proofErr w:type="spellEnd"/>
      <w:r w:rsidRPr="00BD760F">
        <w:rPr>
          <w:color w:val="000000" w:themeColor="text1"/>
        </w:rPr>
        <w:t xml:space="preserve"> </w:t>
      </w:r>
      <w:proofErr w:type="spellStart"/>
      <w:r w:rsidRPr="00BD760F">
        <w:rPr>
          <w:color w:val="000000" w:themeColor="text1"/>
        </w:rPr>
        <w:t>Supermix</w:t>
      </w:r>
      <w:proofErr w:type="spellEnd"/>
      <w:r w:rsidRPr="00BD760F">
        <w:rPr>
          <w:color w:val="000000" w:themeColor="text1"/>
        </w:rPr>
        <w:t xml:space="preserve">, Bio-Rad, Hercules, CA). Amplification of PCR products was monitored via intercalation of Eva-Green (included in the master mix). The following program was applied: initial polymerase activation, 95 ºC, 3 min; then 40 cycles at 94 ºC 10 s (denaturation), 60 ºC 20 s (annealing), 72 ºC 15 s (extension). The PCR products were run on 2% agarose gels to make sure that there was only one </w:t>
      </w:r>
      <w:proofErr w:type="spellStart"/>
      <w:r w:rsidRPr="00BD760F">
        <w:rPr>
          <w:color w:val="000000" w:themeColor="text1"/>
        </w:rPr>
        <w:t>amplicon</w:t>
      </w:r>
      <w:proofErr w:type="spellEnd"/>
      <w:r w:rsidRPr="00BD760F">
        <w:rPr>
          <w:color w:val="000000" w:themeColor="text1"/>
        </w:rPr>
        <w:t xml:space="preserve"> of the expected size. PCRs with each primer pair were also performed on samples lacking cDNA template, in triplicate (no template controls).</w:t>
      </w:r>
    </w:p>
    <w:p w:rsidR="00233DD9" w:rsidRPr="00BD760F" w:rsidRDefault="00233DD9" w:rsidP="00233DD9">
      <w:pPr>
        <w:spacing w:line="480" w:lineRule="auto"/>
        <w:rPr>
          <w:color w:val="000000" w:themeColor="text1"/>
        </w:rPr>
      </w:pPr>
      <w:r w:rsidRPr="00BD760F">
        <w:rPr>
          <w:color w:val="000000" w:themeColor="text1"/>
        </w:rPr>
        <w:t>To assess amplification efficiency of the genes, identical volumes of cDNA samples were diluted and used to generate five-point standard curves based on a five-fold dilution series (1;1:5;1:25;1:125;1:625), in triplicate. Amplification efficiency (E) is calculated as E= 10</w:t>
      </w:r>
      <w:r w:rsidRPr="00BD760F">
        <w:rPr>
          <w:color w:val="000000" w:themeColor="text1"/>
          <w:vertAlign w:val="superscript"/>
        </w:rPr>
        <w:t>(-1/a)</w:t>
      </w:r>
      <w:r w:rsidRPr="00BD760F">
        <w:rPr>
          <w:color w:val="000000" w:themeColor="text1"/>
        </w:rPr>
        <w:t>-1, “a” being the slope of the linear regression curve (y = a log(x) + b) fitted over the log-transformed data of the input cDNA dilution (y) plotted against the respective quantification cycle (</w:t>
      </w:r>
      <w:proofErr w:type="spellStart"/>
      <w:proofErr w:type="gramStart"/>
      <w:r w:rsidRPr="00BD760F">
        <w:rPr>
          <w:color w:val="000000" w:themeColor="text1"/>
        </w:rPr>
        <w:t>Cq</w:t>
      </w:r>
      <w:proofErr w:type="spellEnd"/>
      <w:proofErr w:type="gramEnd"/>
      <w:r w:rsidRPr="00BD760F">
        <w:rPr>
          <w:color w:val="000000" w:themeColor="text1"/>
        </w:rPr>
        <w:t xml:space="preserve">) values (x). E-values of the target genes were considered comparable when they did not exceed 100 ± 10%, corresponding to a </w:t>
      </w:r>
      <w:r w:rsidRPr="00BD760F">
        <w:rPr>
          <w:color w:val="000000" w:themeColor="text1"/>
        </w:rPr>
        <w:lastRenderedPageBreak/>
        <w:t>standard curve slope of 3.3 ± 0.33. All cDNA samples were diluted 50 fold and were amplified in duplicate in two independent PCR runs.</w:t>
      </w:r>
    </w:p>
    <w:p w:rsidR="00233DD9" w:rsidRPr="007A1982" w:rsidRDefault="00233DD9" w:rsidP="00233DD9">
      <w:pPr>
        <w:spacing w:line="480" w:lineRule="auto"/>
        <w:ind w:firstLine="284"/>
        <w:jc w:val="both"/>
        <w:rPr>
          <w:lang w:val="en-GB"/>
        </w:rPr>
      </w:pPr>
      <w:r w:rsidRPr="00BD760F">
        <w:t>To generate a baseline-subtracted plot of the logarithmic increase in fluorescence signal (</w:t>
      </w:r>
      <w:proofErr w:type="spellStart"/>
      <w:r w:rsidRPr="007A1982">
        <w:t>Δ</w:t>
      </w:r>
      <w:r w:rsidRPr="00BD760F">
        <w:t>Rn</w:t>
      </w:r>
      <w:proofErr w:type="spellEnd"/>
      <w:r w:rsidRPr="00BD760F">
        <w:t xml:space="preserve">) versus cycle number, baseline data were collected between the cycles 5 and 17. All amplification plots were </w:t>
      </w:r>
      <w:proofErr w:type="spellStart"/>
      <w:r w:rsidRPr="00BD760F">
        <w:t>analysed</w:t>
      </w:r>
      <w:proofErr w:type="spellEnd"/>
      <w:r w:rsidRPr="00BD760F">
        <w:t xml:space="preserve"> with an </w:t>
      </w:r>
      <w:proofErr w:type="spellStart"/>
      <w:r w:rsidRPr="00BD760F">
        <w:rPr>
          <w:i/>
        </w:rPr>
        <w:t>R</w:t>
      </w:r>
      <w:r w:rsidRPr="00BD760F">
        <w:rPr>
          <w:i/>
          <w:vertAlign w:val="subscript"/>
        </w:rPr>
        <w:t>n</w:t>
      </w:r>
      <w:proofErr w:type="spellEnd"/>
      <w:r w:rsidRPr="00BD760F">
        <w:t xml:space="preserve"> threshold of 0.2, at the beginning of the region of exponential amplification, to obtain </w:t>
      </w:r>
      <w:proofErr w:type="spellStart"/>
      <w:proofErr w:type="gramStart"/>
      <w:r w:rsidRPr="00BD760F">
        <w:t>Cq</w:t>
      </w:r>
      <w:proofErr w:type="spellEnd"/>
      <w:proofErr w:type="gramEnd"/>
      <w:r w:rsidRPr="00BD760F">
        <w:t xml:space="preserve"> (quantification cycle) and the data obtained were exported into a MS Excel workbook (Microsoft Inc.) for further analysis. </w:t>
      </w:r>
      <w:r w:rsidRPr="007A1982">
        <w:rPr>
          <w:lang w:val="en-GB"/>
        </w:rPr>
        <w:t xml:space="preserve">In order to compare data from different PCR runs or cDNA samples, several housekeeping genes were tested using </w:t>
      </w:r>
      <w:proofErr w:type="spellStart"/>
      <w:r w:rsidRPr="007A1982">
        <w:rPr>
          <w:lang w:val="en-GB"/>
        </w:rPr>
        <w:t>geNorm</w:t>
      </w:r>
      <w:proofErr w:type="spellEnd"/>
      <w:r w:rsidRPr="007A1982">
        <w:rPr>
          <w:lang w:val="en-GB"/>
        </w:rPr>
        <w:t xml:space="preserve"> </w:t>
      </w:r>
      <w:r w:rsidR="00FD208F">
        <w:rPr>
          <w:lang w:val="en-GB"/>
        </w:rPr>
        <w:fldChar w:fldCharType="begin"/>
      </w:r>
      <w:r w:rsidR="00715DCB">
        <w:rPr>
          <w:lang w:val="en-GB"/>
        </w:rPr>
        <w:instrText xml:space="preserve"> ADDIN EN.CITE &lt;EndNote&gt;&lt;Cite&gt;&lt;Author&gt;Vandesompele&lt;/Author&gt;&lt;Year&gt;2002&lt;/Year&gt;&lt;RecNum&gt;94&lt;/RecNum&gt;&lt;record&gt;&lt;rec-number&gt;94&lt;/rec-number&gt;&lt;ref-type name="Journal Article"&gt;17&lt;/ref-type&gt;&lt;contributors&gt;&lt;authors&gt;&lt;author&gt;J. Vandesompele&lt;/author&gt;&lt;author&gt;K. De Preter&lt;/author&gt;&lt;author&gt;F. Pattin&lt;/author&gt;&lt;author&gt;B. Poppe&lt;/author&gt;&lt;author&gt;N. Van Roy&lt;/author&gt;&lt;author&gt;A. De Paepe&lt;/author&gt;&lt;author&gt;F. Speleman&lt;/author&gt;&lt;/authors&gt;&lt;/contributors&gt;&lt;titles&gt;&lt;title&gt;Accurate normalization of real-time quantitative RT-PCR data by geometric averaging of multiple internal control genes &lt;/title&gt;&lt;secondary-title&gt;Genome Biology&lt;/secondary-title&gt;&lt;/titles&gt;&lt;periodical&gt;&lt;full-title&gt;Genome Biology&lt;/full-title&gt;&lt;abbr-1&gt;Genome Biol.&lt;/abbr-1&gt;&lt;abbr-2&gt;Genome Biol&lt;/abbr-2&gt;&lt;/periodical&gt;&lt;pages&gt;1-12&lt;/pages&gt;&lt;volume&gt;3&lt;/volume&gt;&lt;dates&gt;&lt;year&gt;2002&lt;/year&gt;&lt;/dates&gt;&lt;urls&gt;&lt;/urls&gt;&lt;/record&gt;&lt;/Cite&gt;&lt;/EndNote&gt;</w:instrText>
      </w:r>
      <w:r w:rsidR="00FD208F">
        <w:rPr>
          <w:lang w:val="en-GB"/>
        </w:rPr>
        <w:fldChar w:fldCharType="separate"/>
      </w:r>
      <w:r w:rsidR="00715DCB">
        <w:rPr>
          <w:lang w:val="en-GB"/>
        </w:rPr>
        <w:t>[2]</w:t>
      </w:r>
      <w:r w:rsidR="00FD208F">
        <w:rPr>
          <w:lang w:val="en-GB"/>
        </w:rPr>
        <w:fldChar w:fldCharType="end"/>
      </w:r>
      <w:r>
        <w:rPr>
          <w:lang w:val="en-GB"/>
        </w:rPr>
        <w:t xml:space="preserve"> </w:t>
      </w:r>
      <w:r w:rsidRPr="007A1982">
        <w:rPr>
          <w:lang w:val="en-GB"/>
        </w:rPr>
        <w:t xml:space="preserve">and in the end, </w:t>
      </w:r>
      <w:proofErr w:type="spellStart"/>
      <w:r w:rsidRPr="007A1982">
        <w:rPr>
          <w:lang w:val="en-GB"/>
        </w:rPr>
        <w:t>C</w:t>
      </w:r>
      <w:r>
        <w:rPr>
          <w:vertAlign w:val="subscript"/>
          <w:lang w:val="en-GB"/>
        </w:rPr>
        <w:t>q</w:t>
      </w:r>
      <w:proofErr w:type="spellEnd"/>
      <w:r w:rsidRPr="007A1982">
        <w:rPr>
          <w:lang w:val="en-GB"/>
        </w:rPr>
        <w:t xml:space="preserve"> values were normalized to the </w:t>
      </w:r>
      <w:proofErr w:type="spellStart"/>
      <w:r w:rsidRPr="007A1982">
        <w:rPr>
          <w:lang w:val="en-GB"/>
        </w:rPr>
        <w:t>C</w:t>
      </w:r>
      <w:r>
        <w:rPr>
          <w:vertAlign w:val="subscript"/>
          <w:lang w:val="en-GB"/>
        </w:rPr>
        <w:t>q</w:t>
      </w:r>
      <w:proofErr w:type="spellEnd"/>
      <w:r w:rsidRPr="007A1982">
        <w:rPr>
          <w:lang w:val="en-GB"/>
        </w:rPr>
        <w:t xml:space="preserve"> values of </w:t>
      </w:r>
      <w:r w:rsidRPr="007A1982">
        <w:rPr>
          <w:i/>
          <w:lang w:val="en-GB"/>
        </w:rPr>
        <w:t>Act2</w:t>
      </w:r>
      <w:r w:rsidRPr="007A1982">
        <w:rPr>
          <w:lang w:val="en-GB"/>
        </w:rPr>
        <w:t xml:space="preserve"> and </w:t>
      </w:r>
      <w:r w:rsidRPr="007A1982">
        <w:rPr>
          <w:i/>
          <w:lang w:val="en-GB"/>
        </w:rPr>
        <w:t>L2</w:t>
      </w:r>
      <w:r w:rsidRPr="007A1982">
        <w:rPr>
          <w:lang w:val="en-GB"/>
        </w:rPr>
        <w:t xml:space="preserve">. </w:t>
      </w:r>
    </w:p>
    <w:p w:rsidR="00233DD9" w:rsidRPr="00BD760F" w:rsidRDefault="00233DD9" w:rsidP="00233DD9">
      <w:pPr>
        <w:rPr>
          <w:lang w:val="en-GB"/>
        </w:rPr>
      </w:pPr>
    </w:p>
    <w:p w:rsidR="00715DCB" w:rsidRDefault="00715DCB">
      <w:pPr>
        <w:rPr>
          <w:lang w:val="en-GB"/>
        </w:rPr>
      </w:pPr>
    </w:p>
    <w:p w:rsidR="00715DCB" w:rsidRDefault="00715DCB">
      <w:pPr>
        <w:rPr>
          <w:lang w:val="en-GB"/>
        </w:rPr>
      </w:pPr>
    </w:p>
    <w:p w:rsidR="00715DCB" w:rsidRDefault="00FD208F" w:rsidP="00715DCB">
      <w:pPr>
        <w:spacing w:line="480" w:lineRule="auto"/>
        <w:ind w:left="720" w:hanging="720"/>
        <w:rPr>
          <w:lang w:val="en-GB"/>
        </w:rPr>
      </w:pPr>
      <w:r>
        <w:rPr>
          <w:lang w:val="en-GB"/>
        </w:rPr>
        <w:fldChar w:fldCharType="begin"/>
      </w:r>
      <w:r w:rsidR="00715DCB">
        <w:rPr>
          <w:lang w:val="en-GB"/>
        </w:rPr>
        <w:instrText xml:space="preserve"> ADDIN EN.REFLIST </w:instrText>
      </w:r>
      <w:r>
        <w:rPr>
          <w:lang w:val="en-GB"/>
        </w:rPr>
        <w:fldChar w:fldCharType="separate"/>
      </w:r>
      <w:r w:rsidR="00715DCB">
        <w:rPr>
          <w:lang w:val="en-GB"/>
        </w:rPr>
        <w:t>1.</w:t>
      </w:r>
      <w:r w:rsidR="00715DCB">
        <w:rPr>
          <w:lang w:val="en-GB"/>
        </w:rPr>
        <w:tab/>
        <w:t xml:space="preserve">Coito JL, Rocheta M, Carvalho LC, Amâncio S: </w:t>
      </w:r>
      <w:r w:rsidR="00715DCB" w:rsidRPr="00715DCB">
        <w:rPr>
          <w:b/>
          <w:lang w:val="en-GB"/>
        </w:rPr>
        <w:t>Microarray-based uncovering reference genes for quantitative real time PCR in grapevine under abiotic stress.</w:t>
      </w:r>
      <w:r w:rsidR="00715DCB">
        <w:rPr>
          <w:lang w:val="en-GB"/>
        </w:rPr>
        <w:t xml:space="preserve"> </w:t>
      </w:r>
      <w:r w:rsidR="00715DCB" w:rsidRPr="00715DCB">
        <w:rPr>
          <w:i/>
          <w:lang w:val="en-GB"/>
        </w:rPr>
        <w:t xml:space="preserve">BMC Research Notes </w:t>
      </w:r>
      <w:r w:rsidR="00715DCB">
        <w:rPr>
          <w:lang w:val="en-GB"/>
        </w:rPr>
        <w:t xml:space="preserve">2012, </w:t>
      </w:r>
      <w:r w:rsidR="00715DCB" w:rsidRPr="00715DCB">
        <w:rPr>
          <w:b/>
          <w:lang w:val="en-GB"/>
        </w:rPr>
        <w:t>5:</w:t>
      </w:r>
      <w:r w:rsidR="00715DCB">
        <w:rPr>
          <w:lang w:val="en-GB"/>
        </w:rPr>
        <w:t>220.</w:t>
      </w:r>
    </w:p>
    <w:p w:rsidR="00715DCB" w:rsidRDefault="00715DCB" w:rsidP="00715DCB">
      <w:pPr>
        <w:spacing w:line="480" w:lineRule="auto"/>
        <w:ind w:left="720" w:hanging="720"/>
        <w:rPr>
          <w:lang w:val="en-GB"/>
        </w:rPr>
      </w:pPr>
      <w:r>
        <w:rPr>
          <w:lang w:val="en-GB"/>
        </w:rPr>
        <w:t>2.</w:t>
      </w:r>
      <w:r>
        <w:rPr>
          <w:lang w:val="en-GB"/>
        </w:rPr>
        <w:tab/>
        <w:t xml:space="preserve">Vandesompele J, Preter KD, Pattin F, Poppe B, Roy NV, Paepe AD, Speleman F: </w:t>
      </w:r>
      <w:r w:rsidRPr="00715DCB">
        <w:rPr>
          <w:b/>
          <w:lang w:val="en-GB"/>
        </w:rPr>
        <w:t xml:space="preserve">Accurate normalization of real-time quantitative RT-PCR data by geometric averaging of multiple internal control genes </w:t>
      </w:r>
      <w:r w:rsidRPr="00715DCB">
        <w:rPr>
          <w:i/>
          <w:lang w:val="en-GB"/>
        </w:rPr>
        <w:t xml:space="preserve">Genome Biol </w:t>
      </w:r>
      <w:r>
        <w:rPr>
          <w:lang w:val="en-GB"/>
        </w:rPr>
        <w:t xml:space="preserve">2002, </w:t>
      </w:r>
      <w:r w:rsidRPr="00715DCB">
        <w:rPr>
          <w:b/>
          <w:lang w:val="en-GB"/>
        </w:rPr>
        <w:t>3:</w:t>
      </w:r>
      <w:r>
        <w:rPr>
          <w:lang w:val="en-GB"/>
        </w:rPr>
        <w:t>1-12.</w:t>
      </w:r>
    </w:p>
    <w:p w:rsidR="00715DCB" w:rsidRDefault="00715DCB" w:rsidP="00715DCB">
      <w:pPr>
        <w:spacing w:line="480" w:lineRule="auto"/>
        <w:rPr>
          <w:lang w:val="en-GB"/>
        </w:rPr>
      </w:pPr>
    </w:p>
    <w:p w:rsidR="00233DD9" w:rsidRPr="00233DD9" w:rsidRDefault="00FD208F" w:rsidP="00715DCB">
      <w:pPr>
        <w:spacing w:line="480" w:lineRule="auto"/>
        <w:ind w:left="720" w:hanging="720"/>
        <w:rPr>
          <w:lang w:val="en-GB"/>
        </w:rPr>
      </w:pPr>
      <w:r>
        <w:rPr>
          <w:lang w:val="en-GB"/>
        </w:rPr>
        <w:fldChar w:fldCharType="end"/>
      </w:r>
    </w:p>
    <w:sectPr w:rsidR="00233DD9" w:rsidRPr="00233DD9" w:rsidSect="003575F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docVars>
    <w:docVar w:name="EN.InstantFormat" w:val="&lt;ENInstantFormat&gt;&lt;Enabled&gt;1&lt;/Enabled&gt;&lt;ScanUnformatted&gt;1&lt;/ScanUnformatted&gt;&lt;ScanChanges&gt;1&lt;/ScanChanges&gt;&lt;/ENInstantFormat&gt;"/>
    <w:docVar w:name="EN.Layout" w:val="&lt;ENLayout&gt;&lt;Style&gt;BMC Plant Biolog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2&lt;/LineSpacing&gt;&lt;SpaceAfter&gt;0&lt;/SpaceAfter&gt;&lt;/ENLayout&gt;"/>
    <w:docVar w:name="EN.Libraries" w:val="&lt;ENLibraries&gt;&lt;Libraries&gt;&lt;item&gt;Paperchip.enl&lt;/item&gt;&lt;/Libraries&gt;&lt;/ENLibraries&gt;"/>
  </w:docVars>
  <w:rsids>
    <w:rsidRoot w:val="00EF7EB7"/>
    <w:rsid w:val="000702A6"/>
    <w:rsid w:val="001A2AD5"/>
    <w:rsid w:val="00233DD9"/>
    <w:rsid w:val="00234C28"/>
    <w:rsid w:val="002906E3"/>
    <w:rsid w:val="002B260B"/>
    <w:rsid w:val="002D2114"/>
    <w:rsid w:val="003575F3"/>
    <w:rsid w:val="00372BD4"/>
    <w:rsid w:val="003F5187"/>
    <w:rsid w:val="00500F2C"/>
    <w:rsid w:val="00624705"/>
    <w:rsid w:val="00662C99"/>
    <w:rsid w:val="006D6408"/>
    <w:rsid w:val="00715DCB"/>
    <w:rsid w:val="00756DF1"/>
    <w:rsid w:val="007963EA"/>
    <w:rsid w:val="007D65B8"/>
    <w:rsid w:val="007F5D52"/>
    <w:rsid w:val="008F38E8"/>
    <w:rsid w:val="00961CBB"/>
    <w:rsid w:val="009C79CB"/>
    <w:rsid w:val="00B43DA5"/>
    <w:rsid w:val="00BA2172"/>
    <w:rsid w:val="00BC7BFC"/>
    <w:rsid w:val="00CD13B4"/>
    <w:rsid w:val="00CD7710"/>
    <w:rsid w:val="00E05641"/>
    <w:rsid w:val="00EA2E50"/>
    <w:rsid w:val="00EF7EB7"/>
    <w:rsid w:val="00FD20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7E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t-P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F7E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7EB7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233D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DD9"/>
    <w:pPr>
      <w:spacing w:after="200"/>
    </w:pPr>
    <w:rPr>
      <w:rFonts w:ascii="Calibri" w:eastAsia="Calibri" w:hAnsi="Calibri" w:cs="Arial"/>
      <w:sz w:val="20"/>
      <w:szCs w:val="20"/>
      <w:lang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DD9"/>
    <w:rPr>
      <w:rFonts w:ascii="Calibri" w:eastAsia="Calibri" w:hAnsi="Calibri" w:cs="Arial"/>
      <w:sz w:val="20"/>
      <w:szCs w:val="20"/>
      <w:lang w:val="en-US"/>
    </w:rPr>
  </w:style>
  <w:style w:type="character" w:customStyle="1" w:styleId="apple-style-span">
    <w:name w:val="apple-style-span"/>
    <w:basedOn w:val="DefaultParagraphFont"/>
    <w:rsid w:val="00233DD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7E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arcter"/>
    <w:uiPriority w:val="99"/>
    <w:semiHidden/>
    <w:unhideWhenUsed/>
    <w:rsid w:val="00EF7EB7"/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EF7EB7"/>
    <w:rPr>
      <w:rFonts w:ascii="Tahoma" w:hAnsi="Tahoma" w:cs="Tahoma"/>
      <w:sz w:val="16"/>
      <w:szCs w:val="16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233DD9"/>
    <w:rPr>
      <w:sz w:val="16"/>
      <w:szCs w:val="16"/>
    </w:rPr>
  </w:style>
  <w:style w:type="paragraph" w:styleId="Textodecomentrio">
    <w:name w:val="annotation text"/>
    <w:basedOn w:val="Normal"/>
    <w:link w:val="TextodecomentrioCarcter"/>
    <w:uiPriority w:val="99"/>
    <w:semiHidden/>
    <w:unhideWhenUsed/>
    <w:rsid w:val="00233DD9"/>
    <w:pPr>
      <w:spacing w:after="200"/>
    </w:pPr>
    <w:rPr>
      <w:rFonts w:ascii="Calibri" w:eastAsia="Calibri" w:hAnsi="Calibri" w:cs="Arial"/>
      <w:sz w:val="20"/>
      <w:szCs w:val="20"/>
      <w:lang w:eastAsia="en-US"/>
    </w:rPr>
  </w:style>
  <w:style w:type="character" w:customStyle="1" w:styleId="TextodecomentrioCarcter">
    <w:name w:val="Texto de comentário Carácter"/>
    <w:basedOn w:val="Tipodeletrapredefinidodopargrafo"/>
    <w:link w:val="Textodecomentrio"/>
    <w:uiPriority w:val="99"/>
    <w:semiHidden/>
    <w:rsid w:val="00233DD9"/>
    <w:rPr>
      <w:rFonts w:ascii="Calibri" w:eastAsia="Calibri" w:hAnsi="Calibri" w:cs="Arial"/>
      <w:sz w:val="20"/>
      <w:szCs w:val="20"/>
      <w:lang w:val="en-US"/>
    </w:rPr>
  </w:style>
  <w:style w:type="character" w:customStyle="1" w:styleId="apple-style-span">
    <w:name w:val="apple-style-span"/>
    <w:basedOn w:val="Tipodeletrapredefinidodopargrafo"/>
    <w:rsid w:val="00233DD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3</Pages>
  <Words>850</Words>
  <Characters>4849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Luísa Cristina dos Martires Ferreira de Carvalho</dc:creator>
  <cp:lastModifiedBy>Margarida</cp:lastModifiedBy>
  <cp:revision>12</cp:revision>
  <cp:lastPrinted>2012-05-24T10:17:00Z</cp:lastPrinted>
  <dcterms:created xsi:type="dcterms:W3CDTF">2012-05-25T10:12:00Z</dcterms:created>
  <dcterms:modified xsi:type="dcterms:W3CDTF">2013-07-10T20:18:00Z</dcterms:modified>
</cp:coreProperties>
</file>