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5E2" w:rsidRPr="001C11E5" w:rsidRDefault="00B925E2" w:rsidP="00B925E2">
      <w:pPr>
        <w:pStyle w:val="Caption"/>
        <w:keepNext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Suplementary</w:t>
      </w:r>
      <w:proofErr w:type="spellEnd"/>
      <w:r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 xml:space="preserve"> Table S3</w:t>
      </w:r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- Real-time RT-PCR primer pairs for reference and target genes and their efficiency values calculated in </w:t>
      </w:r>
      <w:proofErr w:type="spellStart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LinRegPCR</w:t>
      </w:r>
      <w:proofErr w:type="spellEnd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</w:t>
      </w:r>
      <w:r w:rsidRPr="001C11E5">
        <w:rPr>
          <w:rFonts w:ascii="Times New Roman" w:hAnsi="Times New Roman" w:cs="Times New Roman"/>
          <w:i w:val="0"/>
          <w:noProof/>
          <w:color w:val="auto"/>
          <w:sz w:val="24"/>
          <w:szCs w:val="24"/>
          <w:lang w:val="en-US"/>
        </w:rPr>
        <w:t>(Ruijter et al., 2009)</w:t>
      </w:r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. Real-time PCRs were done in a final volume of 10 µL, containing 5 µL of </w:t>
      </w:r>
      <w:proofErr w:type="spellStart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Sso</w:t>
      </w:r>
      <w:proofErr w:type="spellEnd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Advanced universal SYBR® Green </w:t>
      </w:r>
      <w:proofErr w:type="spellStart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supermix</w:t>
      </w:r>
      <w:proofErr w:type="spellEnd"/>
      <w:r w:rsidRPr="001C11E5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(2x) (Bio- Rad, Hercules, CA, USA) and 0.4 µL of each primer (with a concentration of 0.4 µM). The assay conditions included an initial denaturation step at 95 °C for 30 s, followed by 40 cycles at 95 °C for 10 s and 60 °C for 30 s.</w:t>
      </w:r>
    </w:p>
    <w:p w:rsidR="00B925E2" w:rsidRDefault="00B925E2" w:rsidP="001C11E5">
      <w:pPr>
        <w:pStyle w:val="Caption"/>
        <w:keepNext/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</w:pPr>
    </w:p>
    <w:p w:rsidR="001C11E5" w:rsidRPr="001C11E5" w:rsidRDefault="001C11E5" w:rsidP="001C11E5">
      <w:pPr>
        <w:pStyle w:val="Caption"/>
        <w:keepNext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</w:p>
    <w:tbl>
      <w:tblPr>
        <w:tblpPr w:leftFromText="141" w:rightFromText="141" w:vertAnchor="page" w:horzAnchor="margin" w:tblpXSpec="center" w:tblpY="3181"/>
        <w:tblW w:w="15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1020"/>
        <w:gridCol w:w="1020"/>
        <w:gridCol w:w="1020"/>
        <w:gridCol w:w="1020"/>
        <w:gridCol w:w="1020"/>
        <w:gridCol w:w="1020"/>
        <w:gridCol w:w="1500"/>
        <w:gridCol w:w="2960"/>
        <w:gridCol w:w="2960"/>
      </w:tblGrid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proofErr w:type="gramStart"/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gene</w:t>
            </w:r>
            <w:proofErr w:type="gramEnd"/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 xml:space="preserve"> name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S. carolitertii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S. torgalensis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S. pyrenaicus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GO description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Functional category</w:t>
            </w:r>
          </w:p>
        </w:tc>
      </w:tr>
      <w:tr w:rsidR="001C11E5" w:rsidRPr="001C11E5" w:rsidTr="001C11E5">
        <w:trPr>
          <w:trHeight w:val="276"/>
        </w:trPr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Fins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Liver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Muscle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Fins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Liver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Muscle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center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Brain*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 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 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rpsa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-0,11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0,36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-0,27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rpl35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-0,02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0,28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-0,26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pabpc1a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-0,03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-0,24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AEAAAA"/>
                <w:lang w:eastAsia="pt-PT"/>
              </w:rPr>
              <w:t>N/A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per1a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-3,39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-7,47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circadian rhythm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cry1a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-10,70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-9,08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circadian rhythm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hsc70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4,33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-0,77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-9,72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hsp70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9,41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7,40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18,49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16,54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18,31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20,07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hsp90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8,21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8,18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5,59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8,87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4,24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4,69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stip1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3,84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5,75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9,35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fkbp4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3,40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12,09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protein folding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hif1a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-0,73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-1,38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0,99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ldha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-6,38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cs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0,93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-0,70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ndub8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-4,26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13,10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1C11E5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glula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2,23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-6,61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response to oxidative stress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BE2CE9">
        <w:trPr>
          <w:trHeight w:val="288"/>
        </w:trPr>
        <w:tc>
          <w:tcPr>
            <w:tcW w:w="16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lox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7,30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-8,65</w:t>
            </w: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skeletal system development</w:t>
            </w:r>
          </w:p>
        </w:tc>
        <w:tc>
          <w:tcPr>
            <w:tcW w:w="2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energy metabolism</w:t>
            </w:r>
          </w:p>
        </w:tc>
      </w:tr>
      <w:tr w:rsidR="001C11E5" w:rsidRPr="001C11E5" w:rsidTr="00BE2CE9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  <w:t>gbp1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7,06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non DE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-4,36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  <w:t>N/A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immune response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1E5" w:rsidRPr="001C11E5" w:rsidRDefault="001C11E5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  <w:r w:rsidRPr="001C11E5"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  <w:t>immune response</w:t>
            </w:r>
          </w:p>
        </w:tc>
      </w:tr>
      <w:tr w:rsidR="00BE2CE9" w:rsidRPr="001C11E5" w:rsidTr="00BE2CE9">
        <w:trPr>
          <w:trHeight w:val="288"/>
        </w:trPr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rPr>
                <w:rFonts w:ascii="Liberation Sans1" w:eastAsia="Times New Roman" w:hAnsi="Liberation Sans1" w:cs="Times New Roman"/>
                <w:i/>
                <w:iCs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BFBFBF"/>
                <w:lang w:eastAsia="pt-PT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2CE9" w:rsidRPr="001C11E5" w:rsidRDefault="00BE2CE9" w:rsidP="001C11E5">
            <w:pPr>
              <w:spacing w:after="0" w:line="240" w:lineRule="auto"/>
              <w:jc w:val="right"/>
              <w:rPr>
                <w:rFonts w:ascii="Liberation Sans1" w:eastAsia="Times New Roman" w:hAnsi="Liberation Sans1" w:cs="Times New Roman"/>
                <w:color w:val="000000"/>
                <w:lang w:eastAsia="pt-PT"/>
              </w:rPr>
            </w:pPr>
          </w:p>
        </w:tc>
      </w:tr>
    </w:tbl>
    <w:p w:rsidR="001A5B2C" w:rsidRDefault="001A5B2C">
      <w:pPr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bookmarkStart w:id="0" w:name="_GoBack"/>
      <w:bookmarkEnd w:id="0"/>
    </w:p>
    <w:sectPr w:rsidR="001A5B2C" w:rsidSect="001C11E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Liberation Sans1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11E5"/>
    <w:rsid w:val="00152DB6"/>
    <w:rsid w:val="001A5B2C"/>
    <w:rsid w:val="001C11E5"/>
    <w:rsid w:val="0034160E"/>
    <w:rsid w:val="009D354B"/>
    <w:rsid w:val="00A80422"/>
    <w:rsid w:val="00B02519"/>
    <w:rsid w:val="00B925E2"/>
    <w:rsid w:val="00BE2CE9"/>
    <w:rsid w:val="00D5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C9E608-71E5-42F9-9389-7C8992793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C11E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Standard">
    <w:name w:val="Standard"/>
    <w:rsid w:val="001A5B2C"/>
    <w:pPr>
      <w:spacing w:after="0" w:line="240" w:lineRule="auto"/>
    </w:pPr>
    <w:rPr>
      <w:rFonts w:ascii="Liberation Serif" w:eastAsia="Droid Sans Fallback" w:hAnsi="Liberation Serif" w:cs="Lohit Hindi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23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324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Tiago Jesus</dc:creator>
  <cp:keywords/>
  <dc:description/>
  <cp:lastModifiedBy>Tiago Jesus</cp:lastModifiedBy>
  <cp:revision>6</cp:revision>
  <dcterms:created xsi:type="dcterms:W3CDTF">2016-09-01T08:09:00Z</dcterms:created>
  <dcterms:modified xsi:type="dcterms:W3CDTF">2017-02-11T12:39:00Z</dcterms:modified>
</cp:coreProperties>
</file>